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bookmarkStart w:id="2" w:name="_GoBack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FB7F47">
        <w:rPr>
          <w:rFonts w:ascii="Arial" w:eastAsia="SimSun" w:hAnsi="Arial" w:cs="Arial"/>
          <w:b/>
          <w:bCs/>
          <w:noProof/>
          <w:lang w:eastAsia="zh-CN"/>
        </w:rPr>
        <w:t xml:space="preserve"> TSG RAN1 Meeting #83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906C0"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5433DF">
        <w:rPr>
          <w:rFonts w:ascii="Arial" w:eastAsia="SimSun" w:hAnsi="Arial" w:cs="Arial"/>
          <w:b/>
          <w:bCs/>
          <w:noProof/>
          <w:lang w:eastAsia="zh-CN"/>
        </w:rPr>
        <w:t>7411</w:t>
      </w:r>
    </w:p>
    <w:p w:rsidR="00300A13" w:rsidRDefault="005B5919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USA, 16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November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86F08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286F08">
        <w:rPr>
          <w:sz w:val="20"/>
          <w:lang w:val="en-US"/>
        </w:rPr>
        <w:tab/>
      </w:r>
      <w:r w:rsidR="008323E7" w:rsidRPr="008323E7">
        <w:rPr>
          <w:sz w:val="20"/>
          <w:lang w:val="en-US"/>
        </w:rPr>
        <w:t>Ericsson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3" w:name="Title"/>
      <w:bookmarkEnd w:id="3"/>
      <w:r w:rsidRPr="004D0743">
        <w:rPr>
          <w:sz w:val="20"/>
          <w:lang w:val="en-US"/>
        </w:rPr>
        <w:tab/>
      </w:r>
      <w:r w:rsidR="000E1467" w:rsidRPr="000E1467">
        <w:rPr>
          <w:sz w:val="20"/>
        </w:rPr>
        <w:t>NB-</w:t>
      </w:r>
      <w:proofErr w:type="spellStart"/>
      <w:r w:rsidR="000E1467" w:rsidRPr="000E1467">
        <w:rPr>
          <w:sz w:val="20"/>
        </w:rPr>
        <w:t>IoT</w:t>
      </w:r>
      <w:proofErr w:type="spellEnd"/>
      <w:r w:rsidR="000E1467" w:rsidRPr="000E1467">
        <w:rPr>
          <w:sz w:val="20"/>
        </w:rPr>
        <w:t xml:space="preserve"> - Battery lifetime </w:t>
      </w:r>
      <w:r w:rsidR="00DF121A">
        <w:rPr>
          <w:sz w:val="20"/>
        </w:rPr>
        <w:t>evaluation</w:t>
      </w:r>
      <w:r w:rsidR="00FB7F47">
        <w:rPr>
          <w:sz w:val="20"/>
        </w:rPr>
        <w:t xml:space="preserve"> for </w:t>
      </w:r>
      <w:proofErr w:type="spellStart"/>
      <w:r w:rsidR="00C91BC5">
        <w:rPr>
          <w:sz w:val="20"/>
        </w:rPr>
        <w:t>in</w:t>
      </w:r>
      <w:r w:rsidR="00DF121A">
        <w:rPr>
          <w:sz w:val="20"/>
        </w:rPr>
        <w:t>band</w:t>
      </w:r>
      <w:proofErr w:type="spellEnd"/>
      <w:r w:rsidR="00DF121A">
        <w:rPr>
          <w:sz w:val="20"/>
        </w:rPr>
        <w:t xml:space="preserve">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4C1694">
        <w:rPr>
          <w:sz w:val="20"/>
          <w:lang w:val="en-US"/>
        </w:rPr>
        <w:t>6</w:t>
      </w:r>
      <w:r w:rsidR="00300A13" w:rsidRPr="00377FD3">
        <w:rPr>
          <w:sz w:val="20"/>
          <w:lang w:val="en-US"/>
        </w:rPr>
        <w:t>.2.6.</w:t>
      </w:r>
      <w:r w:rsidR="004C1694">
        <w:rPr>
          <w:sz w:val="20"/>
          <w:lang w:val="en-US"/>
        </w:rPr>
        <w:t>1</w:t>
      </w:r>
      <w:r w:rsidR="00DF121A">
        <w:rPr>
          <w:sz w:val="20"/>
          <w:lang w:val="en-US"/>
        </w:rPr>
        <w:t>.</w:t>
      </w:r>
      <w:r w:rsidR="00142747">
        <w:rPr>
          <w:sz w:val="20"/>
          <w:lang w:val="en-US"/>
        </w:rPr>
        <w:t>3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  <w:r w:rsidR="005B5919">
        <w:rPr>
          <w:sz w:val="20"/>
          <w:lang w:val="en-US"/>
        </w:rPr>
        <w:t xml:space="preserve"> and decision</w:t>
      </w:r>
    </w:p>
    <w:p w:rsidR="001B4C46" w:rsidRDefault="001B4C46" w:rsidP="001B4C46">
      <w:pPr>
        <w:pStyle w:val="Heading1"/>
      </w:pPr>
      <w:bookmarkStart w:id="4" w:name="_Ref409106980"/>
      <w:bookmarkStart w:id="5" w:name="_Ref387147111"/>
      <w:bookmarkStart w:id="6" w:name="_Ref416466774"/>
      <w:bookmarkEnd w:id="0"/>
      <w:bookmarkEnd w:id="1"/>
      <w:r w:rsidRPr="001B4C46">
        <w:t>Introduction</w:t>
      </w:r>
      <w:bookmarkEnd w:id="4"/>
    </w:p>
    <w:p w:rsidR="004A3D6B" w:rsidRDefault="003A2944" w:rsidP="004A3D6B">
      <w:pPr>
        <w:pStyle w:val="BodyText"/>
        <w:rPr>
          <w:lang w:val="en-US"/>
        </w:rPr>
      </w:pPr>
      <w:bookmarkStart w:id="7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985DCD">
        <w:rPr>
          <w:lang w:val="en-US"/>
        </w:rPr>
        <w:t xml:space="preserve">and tasked RAN1 to evaluate </w:t>
      </w:r>
      <w:r w:rsidR="004A3D6B">
        <w:rPr>
          <w:lang w:val="en-US"/>
        </w:rPr>
        <w:t>t</w:t>
      </w:r>
      <w:r w:rsidR="004A3D6B" w:rsidRPr="004A3D6B">
        <w:rPr>
          <w:lang w:val="en-US"/>
        </w:rPr>
        <w:t xml:space="preserve">wo numerology options </w:t>
      </w:r>
      <w:r w:rsidR="004A3D6B">
        <w:rPr>
          <w:lang w:val="en-US"/>
        </w:rPr>
        <w:t>for both UL and DL: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FA4D9A" w:rsidRDefault="00FA4D9A" w:rsidP="003A2944">
      <w:pPr>
        <w:pStyle w:val="BodyText"/>
        <w:rPr>
          <w:lang w:val="en-US"/>
        </w:rPr>
      </w:pPr>
    </w:p>
    <w:p w:rsidR="003A2944" w:rsidRDefault="004A3D6B" w:rsidP="003A2944">
      <w:pPr>
        <w:pStyle w:val="BodyText"/>
      </w:pPr>
      <w:r>
        <w:rPr>
          <w:lang w:val="en-US"/>
        </w:rPr>
        <w:t xml:space="preserve">One of the performance objectives </w:t>
      </w:r>
      <w:r w:rsidR="00633A6F">
        <w:rPr>
          <w:lang w:val="en-US"/>
        </w:rPr>
        <w:t xml:space="preserve">is for the </w:t>
      </w:r>
      <w:proofErr w:type="spellStart"/>
      <w:r w:rsidR="00633A6F">
        <w:rPr>
          <w:lang w:val="en-US"/>
        </w:rPr>
        <w:t>IoT</w:t>
      </w:r>
      <w:proofErr w:type="spellEnd"/>
      <w:r w:rsidR="00633A6F">
        <w:rPr>
          <w:lang w:val="en-US"/>
        </w:rPr>
        <w:t xml:space="preserve"> device </w:t>
      </w:r>
      <w:r>
        <w:rPr>
          <w:lang w:val="en-US"/>
        </w:rPr>
        <w:t xml:space="preserve">to meet the battery lifetime </w:t>
      </w:r>
      <w:r w:rsidR="00633A6F">
        <w:rPr>
          <w:lang w:val="en-US"/>
        </w:rPr>
        <w:t>requirement of 10 years</w:t>
      </w:r>
      <w:r>
        <w:rPr>
          <w:lang w:val="en-US"/>
        </w:rPr>
        <w:t xml:space="preserve">. Even if a possible down selection of DL and UL numerology could be seen as </w:t>
      </w:r>
      <w:r w:rsidR="00331DE6">
        <w:rPr>
          <w:lang w:val="en-US"/>
        </w:rPr>
        <w:t>independent</w:t>
      </w:r>
      <w:r>
        <w:rPr>
          <w:lang w:val="en-US"/>
        </w:rPr>
        <w:t xml:space="preserve"> evaluations, in order to estimate the battery lifetime, a system with both DL and UL must be assumed for the evaluation. For this reason, in </w:t>
      </w:r>
      <w:r w:rsidR="003A2944">
        <w:rPr>
          <w:lang w:val="en-US"/>
        </w:rPr>
        <w:t xml:space="preserve">this contribution </w:t>
      </w:r>
      <w:r w:rsidR="00FB7F47">
        <w:rPr>
          <w:lang w:val="en-US"/>
        </w:rPr>
        <w:t xml:space="preserve">we </w:t>
      </w:r>
      <w:r w:rsidR="00331DE6">
        <w:rPr>
          <w:lang w:val="en-US"/>
        </w:rPr>
        <w:t xml:space="preserve">have evaluated </w:t>
      </w:r>
      <w:r w:rsidR="002F40C2">
        <w:t>a NB-</w:t>
      </w:r>
      <w:proofErr w:type="spellStart"/>
      <w:r w:rsidR="002F40C2">
        <w:t>IoT</w:t>
      </w:r>
      <w:proofErr w:type="spellEnd"/>
      <w:r w:rsidR="002F40C2">
        <w:t xml:space="preserve"> system as described in </w:t>
      </w:r>
      <w:r w:rsidR="002F40C2">
        <w:fldChar w:fldCharType="begin"/>
      </w:r>
      <w:r w:rsidR="002F40C2">
        <w:instrText xml:space="preserve"> REF _Ref434246719 \r \h </w:instrText>
      </w:r>
      <w:r w:rsidR="002F40C2">
        <w:fldChar w:fldCharType="separate"/>
      </w:r>
      <w:r w:rsidR="00AC19AF">
        <w:t>[3]</w:t>
      </w:r>
      <w:r w:rsidR="002F40C2">
        <w:fldChar w:fldCharType="end"/>
      </w:r>
      <w:r w:rsidR="00331DE6">
        <w:t xml:space="preserve"> in the </w:t>
      </w:r>
      <w:proofErr w:type="spellStart"/>
      <w:r w:rsidR="00331DE6">
        <w:t>inband</w:t>
      </w:r>
      <w:proofErr w:type="spellEnd"/>
      <w:r w:rsidR="00331DE6">
        <w:t xml:space="preserve"> operation</w:t>
      </w:r>
      <w:r w:rsidR="00FA4D9A">
        <w:t xml:space="preserve"> </w:t>
      </w:r>
      <w:r w:rsidR="00FA4D9A">
        <w:rPr>
          <w:lang w:val="en-US"/>
        </w:rPr>
        <w:t xml:space="preserve">using </w:t>
      </w:r>
      <w:r w:rsidR="00FA4D9A" w:rsidRPr="00E57B48">
        <w:t>the methodology given in</w:t>
      </w:r>
      <w:r w:rsidR="00FA4D9A">
        <w:t xml:space="preserve"> TR45.820 </w:t>
      </w:r>
      <w:r w:rsidR="00FA4D9A">
        <w:fldChar w:fldCharType="begin"/>
      </w:r>
      <w:r w:rsidR="00FA4D9A">
        <w:instrText xml:space="preserve"> REF _Ref425332273 \r \h </w:instrText>
      </w:r>
      <w:r w:rsidR="00FA4D9A">
        <w:fldChar w:fldCharType="separate"/>
      </w:r>
      <w:r w:rsidR="00AC19AF">
        <w:t>[1]</w:t>
      </w:r>
      <w:r w:rsidR="00FA4D9A">
        <w:fldChar w:fldCharType="end"/>
      </w:r>
      <w:r w:rsidR="00FA4D9A">
        <w:t xml:space="preserve">. The evaluation </w:t>
      </w:r>
      <w:r w:rsidR="00331DE6">
        <w:t xml:space="preserve">in </w:t>
      </w:r>
      <w:r w:rsidR="00372EB8">
        <w:rPr>
          <w:lang w:val="en-US"/>
        </w:rPr>
        <w:fldChar w:fldCharType="begin"/>
      </w:r>
      <w:r w:rsidR="00B32C24">
        <w:rPr>
          <w:lang w:val="en-US"/>
        </w:rPr>
        <w:instrText xml:space="preserve"> REF _Ref431245969 \r \h </w:instrText>
      </w:r>
      <w:r w:rsidR="00372EB8">
        <w:rPr>
          <w:lang w:val="en-US"/>
        </w:rPr>
      </w:r>
      <w:r w:rsidR="00372EB8">
        <w:rPr>
          <w:lang w:val="en-US"/>
        </w:rPr>
        <w:fldChar w:fldCharType="separate"/>
      </w:r>
      <w:r w:rsidR="00AC19AF">
        <w:rPr>
          <w:lang w:val="en-US"/>
        </w:rPr>
        <w:t>[2]</w:t>
      </w:r>
      <w:r w:rsidR="00372EB8">
        <w:rPr>
          <w:lang w:val="en-US"/>
        </w:rPr>
        <w:fldChar w:fldCharType="end"/>
      </w:r>
      <w:r w:rsidR="00FA4D9A">
        <w:rPr>
          <w:lang w:val="en-US"/>
        </w:rPr>
        <w:t xml:space="preserve"> has been updated by </w:t>
      </w:r>
      <w:r w:rsidR="002F40C2">
        <w:t xml:space="preserve">aligning with the assumptions used </w:t>
      </w:r>
      <w:r w:rsidR="009972C6">
        <w:t xml:space="preserve">in </w:t>
      </w:r>
      <w:r w:rsidR="009972C6">
        <w:fldChar w:fldCharType="begin"/>
      </w:r>
      <w:r w:rsidR="009972C6">
        <w:instrText xml:space="preserve"> REF _Ref425332273 \r \h </w:instrText>
      </w:r>
      <w:r w:rsidR="009972C6">
        <w:fldChar w:fldCharType="separate"/>
      </w:r>
      <w:r w:rsidR="00AC19AF">
        <w:t>[1]</w:t>
      </w:r>
      <w:r w:rsidR="009972C6">
        <w:fldChar w:fldCharType="end"/>
      </w:r>
      <w:r w:rsidR="009972C6">
        <w:t xml:space="preserve"> </w:t>
      </w:r>
      <w:r w:rsidR="00331DE6">
        <w:t>for evaluations</w:t>
      </w:r>
      <w:r w:rsidR="002F40C2">
        <w:t xml:space="preserve"> </w:t>
      </w:r>
      <w:r w:rsidR="00FA4D9A">
        <w:t xml:space="preserve">of </w:t>
      </w:r>
      <w:r w:rsidR="002F40C2">
        <w:t>NB-</w:t>
      </w:r>
      <w:proofErr w:type="spellStart"/>
      <w:r w:rsidR="002F40C2">
        <w:t>CIoT</w:t>
      </w:r>
      <w:proofErr w:type="spellEnd"/>
      <w:r w:rsidR="00FA4D9A">
        <w:t xml:space="preserve"> in and</w:t>
      </w:r>
      <w:r w:rsidR="003A2944">
        <w:t>.</w:t>
      </w:r>
      <w:bookmarkEnd w:id="7"/>
    </w:p>
    <w:p w:rsidR="001B4C46" w:rsidRDefault="00FC79AC" w:rsidP="001B4C46">
      <w:pPr>
        <w:pStyle w:val="Heading1"/>
      </w:pPr>
      <w:r>
        <w:t>NB-LTE e</w:t>
      </w:r>
      <w:r w:rsidR="001B4C46">
        <w:t>nergy consumption evaluation</w:t>
      </w:r>
    </w:p>
    <w:p w:rsidR="001B4C46" w:rsidRPr="00F4066E" w:rsidRDefault="00FC79AC" w:rsidP="001B4C46">
      <w:pPr>
        <w:pStyle w:val="Heading2"/>
      </w:pPr>
      <w:bookmarkStart w:id="8" w:name="_Ref434315965"/>
      <w:r>
        <w:t xml:space="preserve">Updated </w:t>
      </w:r>
      <w:r w:rsidR="001B4C46">
        <w:t>Assumptions</w:t>
      </w:r>
      <w:bookmarkEnd w:id="8"/>
    </w:p>
    <w:p w:rsidR="00FC79AC" w:rsidRPr="0007328F" w:rsidRDefault="00FC79AC" w:rsidP="00FC79AC">
      <w:pPr>
        <w:tabs>
          <w:tab w:val="left" w:pos="5245"/>
        </w:tabs>
        <w:rPr>
          <w:szCs w:val="22"/>
        </w:rPr>
      </w:pPr>
      <w:r w:rsidRPr="0007328F">
        <w:rPr>
          <w:szCs w:val="22"/>
        </w:rPr>
        <w:t xml:space="preserve">This analysis follows the methodology as described in </w:t>
      </w:r>
      <w:r w:rsidRPr="0007328F">
        <w:rPr>
          <w:szCs w:val="22"/>
        </w:rPr>
        <w:fldChar w:fldCharType="begin"/>
      </w:r>
      <w:r w:rsidRPr="0007328F">
        <w:rPr>
          <w:szCs w:val="22"/>
        </w:rPr>
        <w:instrText xml:space="preserve"> REF _Ref434246959 \r \h </w:instrText>
      </w:r>
      <w:r w:rsidR="0007328F">
        <w:rPr>
          <w:szCs w:val="22"/>
        </w:rPr>
        <w:instrText xml:space="preserve"> \* MERGEFORMAT </w:instrText>
      </w:r>
      <w:r w:rsidRPr="0007328F">
        <w:rPr>
          <w:szCs w:val="22"/>
        </w:rPr>
      </w:r>
      <w:r w:rsidRPr="0007328F">
        <w:rPr>
          <w:szCs w:val="22"/>
        </w:rPr>
        <w:fldChar w:fldCharType="separate"/>
      </w:r>
      <w:r w:rsidR="00AC19AF">
        <w:rPr>
          <w:szCs w:val="22"/>
        </w:rPr>
        <w:t>[2]</w:t>
      </w:r>
      <w:r w:rsidRPr="0007328F">
        <w:rPr>
          <w:szCs w:val="22"/>
        </w:rPr>
        <w:fldChar w:fldCharType="end"/>
      </w:r>
      <w:r w:rsidRPr="0007328F">
        <w:rPr>
          <w:szCs w:val="22"/>
        </w:rPr>
        <w:t xml:space="preserve"> with the following updates: </w:t>
      </w:r>
    </w:p>
    <w:p w:rsidR="0007328F" w:rsidRPr="0007328F" w:rsidRDefault="00FC79AC" w:rsidP="0007328F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 w:rsidRPr="0007328F">
        <w:rPr>
          <w:sz w:val="22"/>
          <w:szCs w:val="22"/>
        </w:rPr>
        <w:t xml:space="preserve">The transmission time for </w:t>
      </w:r>
      <w:r w:rsidR="00A07E84">
        <w:rPr>
          <w:sz w:val="22"/>
          <w:szCs w:val="22"/>
        </w:rPr>
        <w:t>the 200 byte</w:t>
      </w:r>
      <w:r w:rsidRPr="0007328F">
        <w:rPr>
          <w:sz w:val="22"/>
          <w:szCs w:val="22"/>
        </w:rPr>
        <w:t xml:space="preserve"> IP report </w:t>
      </w:r>
      <w:r w:rsidR="00A07E84">
        <w:rPr>
          <w:sz w:val="22"/>
          <w:szCs w:val="22"/>
        </w:rPr>
        <w:t>on PUSCH for</w:t>
      </w:r>
      <w:r w:rsidRPr="0007328F">
        <w:rPr>
          <w:sz w:val="22"/>
          <w:szCs w:val="22"/>
        </w:rPr>
        <w:t xml:space="preserve"> 164 dB MCL at has been </w:t>
      </w:r>
      <w:r w:rsidR="00A07E84">
        <w:rPr>
          <w:sz w:val="22"/>
          <w:szCs w:val="22"/>
        </w:rPr>
        <w:t>reduced</w:t>
      </w:r>
      <w:r w:rsidR="0007328F" w:rsidRPr="0007328F">
        <w:rPr>
          <w:sz w:val="22"/>
          <w:szCs w:val="22"/>
        </w:rPr>
        <w:t xml:space="preserve"> to </w:t>
      </w:r>
      <w:r w:rsidR="00985DCD">
        <w:rPr>
          <w:sz w:val="22"/>
          <w:szCs w:val="22"/>
        </w:rPr>
        <w:t xml:space="preserve">2760 </w:t>
      </w:r>
      <w:proofErr w:type="spellStart"/>
      <w:r w:rsidR="00985DCD">
        <w:rPr>
          <w:sz w:val="22"/>
          <w:szCs w:val="22"/>
        </w:rPr>
        <w:t>ms</w:t>
      </w:r>
      <w:proofErr w:type="spellEnd"/>
      <w:r w:rsidR="00985DCD">
        <w:rPr>
          <w:sz w:val="22"/>
          <w:szCs w:val="22"/>
        </w:rPr>
        <w:t xml:space="preserve"> </w:t>
      </w:r>
      <w:r w:rsidR="00681613">
        <w:rPr>
          <w:sz w:val="22"/>
          <w:szCs w:val="22"/>
        </w:rPr>
        <w:t xml:space="preserve">since the previous value </w:t>
      </w:r>
      <w:r w:rsidR="00563331">
        <w:rPr>
          <w:sz w:val="22"/>
          <w:szCs w:val="22"/>
        </w:rPr>
        <w:t xml:space="preserve">was pessimistic resulting in </w:t>
      </w:r>
      <w:r w:rsidR="00681613">
        <w:rPr>
          <w:sz w:val="22"/>
          <w:szCs w:val="22"/>
        </w:rPr>
        <w:t xml:space="preserve">an MCL of 166.1 </w:t>
      </w:r>
      <w:proofErr w:type="spellStart"/>
      <w:r w:rsidR="00681613">
        <w:rPr>
          <w:sz w:val="22"/>
          <w:szCs w:val="22"/>
        </w:rPr>
        <w:t>dB.</w:t>
      </w:r>
      <w:proofErr w:type="spellEnd"/>
      <w:r w:rsidR="00985DCD">
        <w:rPr>
          <w:sz w:val="22"/>
          <w:szCs w:val="22"/>
        </w:rPr>
        <w:t xml:space="preserve"> The new transmission time results in an MCL of 164.4 </w:t>
      </w:r>
      <w:proofErr w:type="spellStart"/>
      <w:r w:rsidR="00985DCD">
        <w:rPr>
          <w:sz w:val="22"/>
          <w:szCs w:val="22"/>
        </w:rPr>
        <w:t>dB.</w:t>
      </w:r>
      <w:proofErr w:type="spellEnd"/>
    </w:p>
    <w:p w:rsidR="002E6CBD" w:rsidRDefault="002E6CBD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Update to latest PBCH design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_Ref434594435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[6]</w:t>
      </w:r>
      <w:r>
        <w:rPr>
          <w:sz w:val="22"/>
          <w:szCs w:val="22"/>
        </w:rPr>
        <w:fldChar w:fldCharType="end"/>
      </w:r>
    </w:p>
    <w:p w:rsidR="0007328F" w:rsidRPr="0007328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07328F">
        <w:rPr>
          <w:sz w:val="22"/>
          <w:szCs w:val="22"/>
        </w:rPr>
        <w:t>In order to align with the evaluation in section 7.3.6.4 in</w:t>
      </w:r>
      <w:r w:rsidR="00FA4D9A">
        <w:rPr>
          <w:sz w:val="22"/>
          <w:szCs w:val="22"/>
        </w:rPr>
        <w:t xml:space="preserve"> </w:t>
      </w:r>
      <w:r w:rsidRPr="0007328F">
        <w:rPr>
          <w:sz w:val="22"/>
          <w:szCs w:val="22"/>
        </w:rPr>
        <w:fldChar w:fldCharType="begin"/>
      </w:r>
      <w:r w:rsidRPr="0007328F">
        <w:rPr>
          <w:sz w:val="22"/>
          <w:szCs w:val="22"/>
        </w:rPr>
        <w:instrText xml:space="preserve"> REF _Ref425332273 \r \h </w:instrText>
      </w:r>
      <w:r>
        <w:rPr>
          <w:sz w:val="22"/>
          <w:szCs w:val="22"/>
        </w:rPr>
        <w:instrText xml:space="preserve"> \* MERGEFORMAT </w:instrText>
      </w:r>
      <w:r w:rsidRPr="0007328F">
        <w:rPr>
          <w:sz w:val="22"/>
          <w:szCs w:val="22"/>
        </w:rPr>
      </w:r>
      <w:r w:rsidRPr="0007328F"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[1]</w:t>
      </w:r>
      <w:r w:rsidRPr="0007328F">
        <w:rPr>
          <w:sz w:val="22"/>
          <w:szCs w:val="22"/>
        </w:rPr>
        <w:fldChar w:fldCharType="end"/>
      </w:r>
      <w:r w:rsidRPr="0007328F">
        <w:rPr>
          <w:sz w:val="22"/>
          <w:szCs w:val="22"/>
        </w:rPr>
        <w:t xml:space="preserve">, the effect of </w:t>
      </w:r>
      <w:r>
        <w:rPr>
          <w:sz w:val="22"/>
          <w:szCs w:val="22"/>
        </w:rPr>
        <w:t xml:space="preserve">BLER </w:t>
      </w:r>
      <w:r w:rsidRPr="0007328F">
        <w:rPr>
          <w:sz w:val="22"/>
          <w:szCs w:val="22"/>
        </w:rPr>
        <w:t xml:space="preserve">has only been included for PUSCH and </w:t>
      </w:r>
      <w:r>
        <w:rPr>
          <w:sz w:val="22"/>
          <w:szCs w:val="22"/>
        </w:rPr>
        <w:t xml:space="preserve">for </w:t>
      </w:r>
      <w:r w:rsidRPr="0007328F">
        <w:rPr>
          <w:sz w:val="22"/>
          <w:szCs w:val="22"/>
        </w:rPr>
        <w:t xml:space="preserve">other </w:t>
      </w:r>
      <w:r>
        <w:rPr>
          <w:sz w:val="22"/>
          <w:szCs w:val="22"/>
        </w:rPr>
        <w:t>channels no retransmissions are assumed</w:t>
      </w:r>
      <w:r w:rsidRPr="0007328F">
        <w:rPr>
          <w:sz w:val="22"/>
          <w:szCs w:val="22"/>
        </w:rPr>
        <w:t>.</w:t>
      </w:r>
    </w:p>
    <w:p w:rsidR="0007328F" w:rsidRPr="0007328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07328F">
        <w:rPr>
          <w:sz w:val="22"/>
          <w:szCs w:val="22"/>
        </w:rPr>
        <w:t>In order to align with the evaluation in section 7.3.6.4 in</w:t>
      </w:r>
      <w:r w:rsidR="00FA4D9A">
        <w:rPr>
          <w:sz w:val="22"/>
          <w:szCs w:val="22"/>
        </w:rPr>
        <w:t xml:space="preserve"> </w:t>
      </w:r>
      <w:r w:rsidRPr="0007328F">
        <w:rPr>
          <w:sz w:val="22"/>
          <w:szCs w:val="22"/>
        </w:rPr>
        <w:fldChar w:fldCharType="begin"/>
      </w:r>
      <w:r w:rsidRPr="0007328F">
        <w:rPr>
          <w:sz w:val="22"/>
          <w:szCs w:val="22"/>
        </w:rPr>
        <w:instrText xml:space="preserve"> REF _Ref425332273 \r \h </w:instrText>
      </w:r>
      <w:r>
        <w:rPr>
          <w:sz w:val="22"/>
          <w:szCs w:val="22"/>
        </w:rPr>
        <w:instrText xml:space="preserve"> \* MERGEFORMAT </w:instrText>
      </w:r>
      <w:r w:rsidRPr="0007328F">
        <w:rPr>
          <w:sz w:val="22"/>
          <w:szCs w:val="22"/>
        </w:rPr>
      </w:r>
      <w:r w:rsidRPr="0007328F"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[1]</w:t>
      </w:r>
      <w:r w:rsidRPr="0007328F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_Ref434248048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[5]</w:t>
      </w:r>
      <w:r>
        <w:rPr>
          <w:sz w:val="22"/>
          <w:szCs w:val="22"/>
        </w:rPr>
        <w:fldChar w:fldCharType="end"/>
      </w:r>
      <w:r w:rsidRPr="0007328F">
        <w:rPr>
          <w:sz w:val="22"/>
          <w:szCs w:val="22"/>
        </w:rPr>
        <w:t xml:space="preserve">, </w:t>
      </w:r>
      <w:r>
        <w:rPr>
          <w:sz w:val="22"/>
          <w:szCs w:val="22"/>
        </w:rPr>
        <w:t>the UE only wakes up three times during the 20 s ready timer</w:t>
      </w:r>
      <w:r w:rsidRPr="0007328F">
        <w:rPr>
          <w:sz w:val="22"/>
          <w:szCs w:val="22"/>
        </w:rPr>
        <w:t>.</w:t>
      </w:r>
      <w:r>
        <w:rPr>
          <w:sz w:val="22"/>
          <w:szCs w:val="22"/>
        </w:rPr>
        <w:t xml:space="preserve"> During the DRX, the UE is in standby mode.</w:t>
      </w:r>
    </w:p>
    <w:p w:rsidR="00FC79AC" w:rsidRPr="005B5919" w:rsidRDefault="00FC79AC" w:rsidP="005B5919">
      <w:pPr>
        <w:rPr>
          <w:szCs w:val="22"/>
        </w:rPr>
      </w:pPr>
    </w:p>
    <w:p w:rsidR="001B4C46" w:rsidRDefault="001B4C46" w:rsidP="001B4C46">
      <w:pPr>
        <w:pStyle w:val="Heading2"/>
      </w:pPr>
      <w:r>
        <w:t>Results</w:t>
      </w:r>
    </w:p>
    <w:p w:rsidR="001B4C46" w:rsidRPr="00524F77" w:rsidRDefault="001B4C46" w:rsidP="001B4C46">
      <w:pPr>
        <w:pStyle w:val="BodyText"/>
      </w:pPr>
      <w:r w:rsidRPr="00524F77">
        <w:t xml:space="preserve">The overall reception, transmission and idle times per report at different coverage </w:t>
      </w:r>
      <w:r w:rsidR="00591532">
        <w:t xml:space="preserve">based on the new assumptions are </w:t>
      </w:r>
      <w:r w:rsidRPr="00524F77">
        <w:t>shown in</w:t>
      </w:r>
      <w:r w:rsidR="00733A65">
        <w:t xml:space="preserve"> </w:t>
      </w:r>
      <w:r w:rsidR="00372EB8">
        <w:fldChar w:fldCharType="begin"/>
      </w:r>
      <w:r w:rsidR="00BE2137">
        <w:instrText xml:space="preserve"> REF _Ref429410577 \h </w:instrText>
      </w:r>
      <w:r w:rsidR="00372EB8">
        <w:fldChar w:fldCharType="separate"/>
      </w:r>
      <w:r w:rsidR="00AC19AF" w:rsidRPr="00524F77">
        <w:t xml:space="preserve">Table </w:t>
      </w:r>
      <w:r w:rsidR="00AC19AF">
        <w:rPr>
          <w:noProof/>
        </w:rPr>
        <w:t>1</w:t>
      </w:r>
      <w:r w:rsidR="00372EB8">
        <w:fldChar w:fldCharType="end"/>
      </w:r>
      <w:r w:rsidRPr="00524F77">
        <w:t>.</w:t>
      </w:r>
    </w:p>
    <w:p w:rsidR="001B4C46" w:rsidRPr="00524F77" w:rsidRDefault="001B4C46" w:rsidP="001B4C46">
      <w:pPr>
        <w:pStyle w:val="Caption"/>
        <w:keepNext/>
        <w:ind w:left="142" w:right="188"/>
      </w:pPr>
      <w:bookmarkStart w:id="9" w:name="_Ref429410577"/>
      <w:r w:rsidRPr="00524F77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AC19AF">
        <w:rPr>
          <w:noProof/>
        </w:rPr>
        <w:t>1</w:t>
      </w:r>
      <w:r w:rsidR="00372EB8">
        <w:rPr>
          <w:noProof/>
        </w:rPr>
        <w:fldChar w:fldCharType="end"/>
      </w:r>
      <w:bookmarkEnd w:id="9"/>
      <w:r w:rsidRPr="00524F77">
        <w:t xml:space="preserve"> Transmission, Reception and Idle time per report (</w:t>
      </w:r>
      <w:proofErr w:type="spellStart"/>
      <w:r w:rsidRPr="00524F77">
        <w:t>ms</w:t>
      </w:r>
      <w:proofErr w:type="spellEnd"/>
      <w:r w:rsidRPr="00524F77">
        <w:t>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1"/>
        <w:gridCol w:w="1828"/>
        <w:gridCol w:w="2102"/>
        <w:gridCol w:w="2102"/>
      </w:tblGrid>
      <w:tr w:rsidR="001B4C46" w:rsidRPr="0062091E" w:rsidTr="00013F75">
        <w:trPr>
          <w:trHeight w:val="40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46" w:rsidRPr="0062091E" w:rsidRDefault="001B4C46" w:rsidP="00013F75">
            <w:pPr>
              <w:rPr>
                <w:color w:val="FF0000"/>
              </w:rPr>
            </w:pPr>
          </w:p>
        </w:tc>
        <w:tc>
          <w:tcPr>
            <w:tcW w:w="182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 xml:space="preserve"> 144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164 dB</w:t>
            </w:r>
          </w:p>
        </w:tc>
      </w:tr>
      <w:tr w:rsidR="00FA4D9A" w:rsidRPr="0062091E" w:rsidTr="00FA4D9A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D9A" w:rsidRPr="00524F77" w:rsidDel="00545EE6" w:rsidRDefault="00FA4D9A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(50 bytes)</w:t>
            </w:r>
          </w:p>
        </w:tc>
        <w:tc>
          <w:tcPr>
            <w:tcW w:w="1828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48</w:t>
            </w:r>
          </w:p>
        </w:tc>
        <w:tc>
          <w:tcPr>
            <w:tcW w:w="2102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334</w:t>
            </w:r>
          </w:p>
        </w:tc>
        <w:tc>
          <w:tcPr>
            <w:tcW w:w="2102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2110</w:t>
            </w:r>
          </w:p>
        </w:tc>
      </w:tr>
      <w:tr w:rsidR="00FA4D9A" w:rsidRPr="0062091E" w:rsidTr="00FA4D9A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D9A" w:rsidRPr="00524F77" w:rsidRDefault="00FA4D9A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(200 bytes)</w:t>
            </w:r>
          </w:p>
        </w:tc>
        <w:tc>
          <w:tcPr>
            <w:tcW w:w="1828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80</w:t>
            </w:r>
          </w:p>
        </w:tc>
        <w:tc>
          <w:tcPr>
            <w:tcW w:w="2102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1005</w:t>
            </w:r>
          </w:p>
        </w:tc>
        <w:tc>
          <w:tcPr>
            <w:tcW w:w="2102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3720</w:t>
            </w:r>
          </w:p>
        </w:tc>
      </w:tr>
      <w:tr w:rsidR="004B3301" w:rsidRPr="0062091E" w:rsidTr="004B3301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3301" w:rsidRPr="00524F77" w:rsidRDefault="004B3301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t>Rx</w:t>
            </w:r>
          </w:p>
        </w:tc>
        <w:tc>
          <w:tcPr>
            <w:tcW w:w="1828" w:type="dxa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160</w:t>
            </w:r>
          </w:p>
        </w:tc>
        <w:tc>
          <w:tcPr>
            <w:tcW w:w="2102" w:type="dxa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482</w:t>
            </w:r>
          </w:p>
        </w:tc>
        <w:tc>
          <w:tcPr>
            <w:tcW w:w="2102" w:type="dxa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2421</w:t>
            </w:r>
          </w:p>
        </w:tc>
      </w:tr>
      <w:tr w:rsidR="00FA4D9A" w:rsidRPr="0062091E" w:rsidTr="00FA4D9A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A4D9A" w:rsidRPr="00524F77" w:rsidRDefault="00FA4D9A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lastRenderedPageBreak/>
              <w:t>Idle</w:t>
            </w:r>
          </w:p>
        </w:tc>
        <w:tc>
          <w:tcPr>
            <w:tcW w:w="1828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1271</w:t>
            </w:r>
          </w:p>
        </w:tc>
        <w:tc>
          <w:tcPr>
            <w:tcW w:w="2102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1505</w:t>
            </w:r>
          </w:p>
        </w:tc>
        <w:tc>
          <w:tcPr>
            <w:tcW w:w="2102" w:type="dxa"/>
            <w:vAlign w:val="center"/>
          </w:tcPr>
          <w:p w:rsidR="00FA4D9A" w:rsidRPr="00FA4D9A" w:rsidRDefault="00FA4D9A" w:rsidP="00FA4D9A">
            <w:pPr>
              <w:jc w:val="center"/>
              <w:rPr>
                <w:rFonts w:asciiTheme="minorHAnsi" w:hAnsiTheme="minorHAnsi"/>
              </w:rPr>
            </w:pPr>
            <w:r w:rsidRPr="00FA4D9A">
              <w:rPr>
                <w:rFonts w:asciiTheme="minorHAnsi" w:hAnsiTheme="minorHAnsi"/>
              </w:rPr>
              <w:t>3123</w:t>
            </w:r>
          </w:p>
        </w:tc>
      </w:tr>
    </w:tbl>
    <w:p w:rsidR="001B4C46" w:rsidRPr="00383E83" w:rsidRDefault="001B4C46" w:rsidP="001B4C46">
      <w:pPr>
        <w:pStyle w:val="BodyText"/>
      </w:pPr>
    </w:p>
    <w:p w:rsidR="001B4C46" w:rsidRDefault="001B4C46" w:rsidP="001B4C46">
      <w:r w:rsidRPr="00C46C1D">
        <w:t xml:space="preserve">The estimated lifetime in years are presented </w:t>
      </w:r>
      <w:r w:rsidR="00591532">
        <w:t xml:space="preserve">in </w:t>
      </w:r>
      <w:r w:rsidR="00591532">
        <w:fldChar w:fldCharType="begin"/>
      </w:r>
      <w:r w:rsidR="00591532">
        <w:instrText xml:space="preserve"> REF _Ref416647023 \h </w:instrText>
      </w:r>
      <w:r w:rsidR="00591532">
        <w:fldChar w:fldCharType="separate"/>
      </w:r>
      <w:r w:rsidR="00AC19AF" w:rsidRPr="005D561C">
        <w:t xml:space="preserve">Table </w:t>
      </w:r>
      <w:r w:rsidR="00AC19AF">
        <w:rPr>
          <w:noProof/>
        </w:rPr>
        <w:t>2</w:t>
      </w:r>
      <w:r w:rsidR="00591532">
        <w:fldChar w:fldCharType="end"/>
      </w:r>
      <w:r>
        <w:t>for</w:t>
      </w:r>
      <w:r w:rsidRPr="00C46C1D">
        <w:t xml:space="preserve"> two different packet sizes, two reporting intervals and at different cove</w:t>
      </w:r>
      <w:r>
        <w:t xml:space="preserve">rage. </w:t>
      </w:r>
    </w:p>
    <w:p w:rsidR="001B4C46" w:rsidRPr="005D561C" w:rsidRDefault="001B4C46" w:rsidP="001B4C46">
      <w:pPr>
        <w:pStyle w:val="Caption"/>
        <w:keepNext/>
      </w:pPr>
      <w:bookmarkStart w:id="10" w:name="_Ref416647023"/>
      <w:r w:rsidRPr="005D561C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AC19AF">
        <w:rPr>
          <w:noProof/>
        </w:rPr>
        <w:t>2</w:t>
      </w:r>
      <w:r w:rsidR="00372EB8">
        <w:rPr>
          <w:noProof/>
        </w:rPr>
        <w:fldChar w:fldCharType="end"/>
      </w:r>
      <w:bookmarkEnd w:id="10"/>
      <w:r w:rsidRPr="005D561C">
        <w:t xml:space="preserve"> </w:t>
      </w:r>
      <w:r w:rsidR="00A356D8">
        <w:t>e</w:t>
      </w:r>
      <w:r w:rsidRPr="005D561C">
        <w:t>stimated battery lifetime in years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1B4C46" w:rsidRPr="00067982" w:rsidTr="00013F75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4B30BE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4B3301" w:rsidRPr="00067982" w:rsidTr="004B3301">
        <w:trPr>
          <w:jc w:val="center"/>
        </w:trPr>
        <w:tc>
          <w:tcPr>
            <w:tcW w:w="2286" w:type="dxa"/>
            <w:vAlign w:val="center"/>
          </w:tcPr>
          <w:p w:rsidR="004B3301" w:rsidRPr="005D561C" w:rsidRDefault="004B330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27.0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12.2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2.8</w:t>
            </w:r>
          </w:p>
        </w:tc>
      </w:tr>
      <w:tr w:rsidR="004B3301" w:rsidRPr="00067982" w:rsidTr="004B3301">
        <w:trPr>
          <w:trHeight w:val="404"/>
          <w:jc w:val="center"/>
        </w:trPr>
        <w:tc>
          <w:tcPr>
            <w:tcW w:w="2286" w:type="dxa"/>
            <w:vAlign w:val="center"/>
          </w:tcPr>
          <w:p w:rsidR="004B3301" w:rsidRPr="005D561C" w:rsidRDefault="004B330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24.2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5.8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1.7</w:t>
            </w:r>
          </w:p>
        </w:tc>
      </w:tr>
      <w:tr w:rsidR="004B3301" w:rsidRPr="00067982" w:rsidTr="004B3301">
        <w:trPr>
          <w:jc w:val="center"/>
        </w:trPr>
        <w:tc>
          <w:tcPr>
            <w:tcW w:w="2286" w:type="dxa"/>
            <w:vAlign w:val="center"/>
          </w:tcPr>
          <w:p w:rsidR="004B3301" w:rsidRPr="005D561C" w:rsidRDefault="004B330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36.8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32.3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18.5</w:t>
            </w:r>
          </w:p>
        </w:tc>
      </w:tr>
      <w:tr w:rsidR="004B3301" w:rsidRPr="00067982" w:rsidTr="004B3301">
        <w:trPr>
          <w:jc w:val="center"/>
        </w:trPr>
        <w:tc>
          <w:tcPr>
            <w:tcW w:w="2286" w:type="dxa"/>
            <w:vAlign w:val="center"/>
          </w:tcPr>
          <w:p w:rsidR="004B3301" w:rsidRPr="005D561C" w:rsidRDefault="004B330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36.3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26.1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4B3301" w:rsidRPr="004B3301" w:rsidRDefault="004B3301" w:rsidP="004B3301">
            <w:pPr>
              <w:jc w:val="center"/>
              <w:rPr>
                <w:rFonts w:asciiTheme="minorHAnsi" w:hAnsiTheme="minorHAnsi"/>
              </w:rPr>
            </w:pPr>
            <w:r w:rsidRPr="004B3301">
              <w:rPr>
                <w:rFonts w:asciiTheme="minorHAnsi" w:hAnsiTheme="minorHAnsi"/>
              </w:rPr>
              <w:t>13.9</w:t>
            </w:r>
          </w:p>
        </w:tc>
      </w:tr>
    </w:tbl>
    <w:p w:rsidR="001B4C46" w:rsidRDefault="001B4C46" w:rsidP="001B4C46"/>
    <w:p w:rsidR="00985DCD" w:rsidRDefault="00985DCD" w:rsidP="001B4C46">
      <w:r>
        <w:t xml:space="preserve">We see that with the updated assumptions in section </w:t>
      </w:r>
      <w:r>
        <w:fldChar w:fldCharType="begin"/>
      </w:r>
      <w:r>
        <w:instrText xml:space="preserve"> REF _Ref434315965 \n \h </w:instrText>
      </w:r>
      <w:r>
        <w:fldChar w:fldCharType="separate"/>
      </w:r>
      <w:r w:rsidR="00AC19AF">
        <w:t>2.1</w:t>
      </w:r>
      <w:r>
        <w:fldChar w:fldCharType="end"/>
      </w:r>
      <w:r>
        <w:t>, the estimated battery life for NB-LTE is further improved fulfilling the 10 year target for battery lifetime</w:t>
      </w:r>
      <w:r w:rsidR="00C400FE">
        <w:t xml:space="preserve"> and meets the 10 year requirement for the same scenarios as when operating standalone</w:t>
      </w:r>
      <w:r w:rsidR="00C400FE">
        <w:fldChar w:fldCharType="begin"/>
      </w:r>
      <w:r w:rsidR="00C400FE">
        <w:instrText xml:space="preserve"> REF _Ref434613383 \r \h </w:instrText>
      </w:r>
      <w:r w:rsidR="00C400FE">
        <w:fldChar w:fldCharType="separate"/>
      </w:r>
      <w:r w:rsidR="00AC19AF">
        <w:t>[7]</w:t>
      </w:r>
      <w:r w:rsidR="00C400FE">
        <w:fldChar w:fldCharType="end"/>
      </w:r>
      <w:r>
        <w:t>.</w:t>
      </w:r>
      <w:r w:rsidR="00C400FE">
        <w:t xml:space="preserve"> </w:t>
      </w:r>
    </w:p>
    <w:p w:rsidR="00BA6FFE" w:rsidRPr="0007328F" w:rsidRDefault="00BA6FFE" w:rsidP="00BA6FFE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FA4D9A">
        <w:rPr>
          <w:b/>
          <w:szCs w:val="22"/>
        </w:rPr>
        <w:t xml:space="preserve"> 1</w:t>
      </w:r>
      <w:r w:rsidRPr="0007328F">
        <w:rPr>
          <w:szCs w:val="22"/>
        </w:rPr>
        <w:t xml:space="preserve">: </w:t>
      </w:r>
    </w:p>
    <w:p w:rsidR="006B73E3" w:rsidRDefault="006B73E3" w:rsidP="006B73E3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</w:t>
      </w:r>
      <w:r w:rsidR="00FA4D9A">
        <w:rPr>
          <w:sz w:val="22"/>
          <w:szCs w:val="22"/>
        </w:rPr>
        <w:t xml:space="preserve">LTE </w:t>
      </w:r>
      <w:r>
        <w:rPr>
          <w:sz w:val="22"/>
          <w:szCs w:val="22"/>
        </w:rPr>
        <w:t xml:space="preserve">can meet the battery target of 10 years for the same scenarios when operating </w:t>
      </w:r>
      <w:proofErr w:type="spellStart"/>
      <w:r>
        <w:rPr>
          <w:sz w:val="22"/>
          <w:szCs w:val="22"/>
        </w:rPr>
        <w:t>inband</w:t>
      </w:r>
      <w:proofErr w:type="spellEnd"/>
      <w:r>
        <w:rPr>
          <w:sz w:val="22"/>
          <w:szCs w:val="22"/>
        </w:rPr>
        <w:t xml:space="preserve"> as for standalone operation.</w:t>
      </w:r>
    </w:p>
    <w:p w:rsidR="001B4C46" w:rsidRDefault="001B4C46" w:rsidP="001B4C46">
      <w:pPr>
        <w:pStyle w:val="Heading1"/>
      </w:pPr>
      <w:r w:rsidRPr="00763114">
        <w:t>Conclusions</w:t>
      </w:r>
    </w:p>
    <w:p w:rsidR="001F5DE8" w:rsidRDefault="00BA6FFE" w:rsidP="00C11CF1">
      <w:pPr>
        <w:spacing w:after="200" w:line="276" w:lineRule="auto"/>
        <w:contextualSpacing/>
        <w:rPr>
          <w:szCs w:val="22"/>
        </w:rPr>
      </w:pPr>
      <w:r>
        <w:rPr>
          <w:szCs w:val="22"/>
        </w:rPr>
        <w:t xml:space="preserve">In this contribution we </w:t>
      </w:r>
      <w:r w:rsidR="005D5FDC">
        <w:rPr>
          <w:szCs w:val="22"/>
        </w:rPr>
        <w:t xml:space="preserve">evaluated battery lifetime of the NB-LTE </w:t>
      </w:r>
      <w:r w:rsidR="005C4540">
        <w:rPr>
          <w:szCs w:val="22"/>
        </w:rPr>
        <w:t xml:space="preserve">when operating </w:t>
      </w:r>
      <w:proofErr w:type="spellStart"/>
      <w:r w:rsidR="005C4540">
        <w:rPr>
          <w:szCs w:val="22"/>
        </w:rPr>
        <w:t>inband</w:t>
      </w:r>
      <w:proofErr w:type="spellEnd"/>
      <w:r w:rsidR="005C4540">
        <w:rPr>
          <w:szCs w:val="22"/>
        </w:rPr>
        <w:t xml:space="preserve"> and made the following observation.</w:t>
      </w:r>
    </w:p>
    <w:p w:rsidR="005D5FDC" w:rsidRDefault="005D5FDC" w:rsidP="00C11CF1">
      <w:pPr>
        <w:spacing w:after="200" w:line="276" w:lineRule="auto"/>
        <w:contextualSpacing/>
        <w:rPr>
          <w:szCs w:val="22"/>
        </w:rPr>
      </w:pPr>
    </w:p>
    <w:p w:rsidR="005D5FDC" w:rsidRPr="0007328F" w:rsidRDefault="005D5FDC" w:rsidP="005D5FD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Pr="0007328F">
        <w:rPr>
          <w:szCs w:val="22"/>
        </w:rPr>
        <w:t xml:space="preserve">: </w:t>
      </w:r>
    </w:p>
    <w:p w:rsidR="00414B38" w:rsidRDefault="006C43F4" w:rsidP="00414B38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 w:rsidRPr="00414B38">
        <w:rPr>
          <w:sz w:val="22"/>
          <w:szCs w:val="22"/>
        </w:rPr>
        <w:t>A</w:t>
      </w:r>
      <w:r w:rsidR="00414B38" w:rsidRPr="00414B38">
        <w:rPr>
          <w:sz w:val="22"/>
          <w:szCs w:val="22"/>
        </w:rPr>
        <w:t xml:space="preserve"> </w:t>
      </w:r>
      <w:r w:rsidR="00414B38">
        <w:rPr>
          <w:sz w:val="22"/>
          <w:szCs w:val="22"/>
        </w:rPr>
        <w:t xml:space="preserve">NB-LTE can meet the battery target of 10 years for the same scenarios when operating </w:t>
      </w:r>
      <w:proofErr w:type="spellStart"/>
      <w:r w:rsidR="00414B38">
        <w:rPr>
          <w:sz w:val="22"/>
          <w:szCs w:val="22"/>
        </w:rPr>
        <w:t>inband</w:t>
      </w:r>
      <w:proofErr w:type="spellEnd"/>
      <w:r w:rsidR="00414B38">
        <w:rPr>
          <w:sz w:val="22"/>
          <w:szCs w:val="22"/>
        </w:rPr>
        <w:t xml:space="preserve"> as for standalone operation.</w:t>
      </w:r>
    </w:p>
    <w:p w:rsidR="001B4C46" w:rsidRPr="00763114" w:rsidRDefault="001B4C46" w:rsidP="00560B38">
      <w:pPr>
        <w:pStyle w:val="Heading1"/>
      </w:pPr>
      <w:r w:rsidRPr="00763114">
        <w:t>References</w:t>
      </w:r>
    </w:p>
    <w:p w:rsidR="001B4C46" w:rsidRPr="00681F5C" w:rsidRDefault="001B4C46" w:rsidP="001B4C46">
      <w:pPr>
        <w:pStyle w:val="Reference"/>
        <w:rPr>
          <w:rFonts w:ascii="Times New Roman" w:hAnsi="Times New Roman" w:cs="Times New Roman"/>
        </w:rPr>
      </w:pPr>
      <w:bookmarkStart w:id="11" w:name="_Ref425332273"/>
      <w:r w:rsidRPr="00681F5C">
        <w:rPr>
          <w:rFonts w:ascii="Times New Roman" w:hAnsi="Times New Roman" w:cs="Times New Roman"/>
        </w:rPr>
        <w:t>TR 45.820 v13</w:t>
      </w:r>
      <w:r w:rsidR="00DD222A"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11"/>
    </w:p>
    <w:p w:rsidR="00FB7F47" w:rsidRPr="006B214D" w:rsidRDefault="00FB7F47" w:rsidP="00486DCD">
      <w:pPr>
        <w:pStyle w:val="Reference"/>
      </w:pPr>
      <w:bookmarkStart w:id="12" w:name="_Ref434246959"/>
      <w:bookmarkStart w:id="13" w:name="_Ref431245969"/>
      <w:bookmarkStart w:id="14" w:name="_Ref429466372"/>
      <w:r w:rsidRPr="006B214D">
        <w:rPr>
          <w:rFonts w:ascii="Times New Roman" w:hAnsi="Times New Roman" w:cs="Times New Roman"/>
        </w:rPr>
        <w:t>R1-1560</w:t>
      </w:r>
      <w:r w:rsidR="00486DCD">
        <w:rPr>
          <w:rFonts w:ascii="Times New Roman" w:hAnsi="Times New Roman" w:cs="Times New Roman"/>
        </w:rPr>
        <w:t>19</w:t>
      </w:r>
      <w:r w:rsidRPr="006B214D">
        <w:t>, “</w:t>
      </w:r>
      <w:r w:rsidR="00486DCD" w:rsidRPr="00486DCD">
        <w:rPr>
          <w:rFonts w:ascii="Times New Roman" w:hAnsi="Times New Roman" w:cs="Times New Roman"/>
        </w:rPr>
        <w:t xml:space="preserve">NB LTE – Exception report latency evaluation in </w:t>
      </w:r>
      <w:proofErr w:type="spellStart"/>
      <w:r w:rsidR="00486DCD" w:rsidRPr="00486DCD">
        <w:rPr>
          <w:rFonts w:ascii="Times New Roman" w:hAnsi="Times New Roman" w:cs="Times New Roman"/>
        </w:rPr>
        <w:t>inband</w:t>
      </w:r>
      <w:proofErr w:type="spellEnd"/>
      <w:r w:rsidR="00486DCD" w:rsidRPr="00486DCD">
        <w:rPr>
          <w:rFonts w:ascii="Times New Roman" w:hAnsi="Times New Roman" w:cs="Times New Roman"/>
        </w:rPr>
        <w:t xml:space="preserve"> operation</w:t>
      </w:r>
      <w:r>
        <w:rPr>
          <w:rFonts w:ascii="Times New Roman" w:hAnsi="Times New Roman" w:cs="Times New Roman"/>
        </w:rPr>
        <w:t xml:space="preserve">”, </w:t>
      </w:r>
      <w:r w:rsidRPr="00FB7F47">
        <w:rPr>
          <w:rFonts w:ascii="Times New Roman" w:hAnsi="Times New Roman" w:cs="Times New Roman"/>
        </w:rPr>
        <w:t>Ericsson</w:t>
      </w:r>
      <w:bookmarkEnd w:id="12"/>
    </w:p>
    <w:p w:rsidR="006B214D" w:rsidRDefault="006B214D" w:rsidP="006B214D">
      <w:pPr>
        <w:pStyle w:val="Reference"/>
        <w:rPr>
          <w:rFonts w:ascii="Times New Roman" w:hAnsi="Times New Roman" w:cs="Times New Roman"/>
        </w:rPr>
      </w:pPr>
      <w:bookmarkStart w:id="15" w:name="_Ref434246719"/>
      <w:r w:rsidRPr="006B214D">
        <w:rPr>
          <w:rFonts w:ascii="Times New Roman" w:hAnsi="Times New Roman" w:cs="Times New Roman"/>
        </w:rPr>
        <w:t>R1-1560</w:t>
      </w:r>
      <w:r w:rsidR="00FB7F47">
        <w:rPr>
          <w:rFonts w:ascii="Times New Roman" w:hAnsi="Times New Roman" w:cs="Times New Roman"/>
        </w:rPr>
        <w:t>13</w:t>
      </w:r>
      <w:r w:rsidRPr="006B214D">
        <w:rPr>
          <w:rFonts w:ascii="Times New Roman" w:hAnsi="Times New Roman" w:cs="Times New Roman"/>
        </w:rPr>
        <w:t>, “NB-LTE – General L1 concept description”, Ericsson</w:t>
      </w:r>
      <w:bookmarkEnd w:id="13"/>
      <w:r w:rsidR="00576AB8">
        <w:rPr>
          <w:rFonts w:ascii="Times New Roman" w:hAnsi="Times New Roman" w:cs="Times New Roman"/>
        </w:rPr>
        <w:t xml:space="preserve">, </w:t>
      </w:r>
      <w:r w:rsidR="00576AB8" w:rsidRPr="003E1FDA">
        <w:rPr>
          <w:rFonts w:ascii="Times New Roman" w:hAnsi="Times New Roman" w:cs="Times New Roman"/>
        </w:rPr>
        <w:t>Alcatel-Lucent, Alcatel-Lucent Shanghai Bell, Nokia, Intel, ZTE, Samsung</w:t>
      </w:r>
      <w:bookmarkEnd w:id="15"/>
    </w:p>
    <w:p w:rsidR="00563331" w:rsidRPr="006B214D" w:rsidRDefault="00563331" w:rsidP="00563331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R1-156009, “</w:t>
      </w:r>
      <w:r w:rsidRPr="00563331">
        <w:rPr>
          <w:rFonts w:ascii="Times New Roman" w:hAnsi="Times New Roman" w:cs="Times New Roman"/>
        </w:rPr>
        <w:t>Narrowband LTE – Synchronization Channel Design and Performance</w:t>
      </w:r>
      <w:r>
        <w:rPr>
          <w:rFonts w:ascii="Times New Roman" w:hAnsi="Times New Roman" w:cs="Times New Roman"/>
        </w:rPr>
        <w:t>”, Ericsson</w:t>
      </w:r>
    </w:p>
    <w:p w:rsidR="004A765D" w:rsidRDefault="0017663A" w:rsidP="0017663A">
      <w:pPr>
        <w:pStyle w:val="Reference"/>
        <w:rPr>
          <w:rFonts w:ascii="Times New Roman" w:hAnsi="Times New Roman" w:cs="Times New Roman"/>
        </w:rPr>
      </w:pPr>
      <w:bookmarkStart w:id="16" w:name="_Ref431246216"/>
      <w:bookmarkStart w:id="17" w:name="_Ref434248048"/>
      <w:bookmarkEnd w:id="14"/>
      <w:r>
        <w:rPr>
          <w:rFonts w:ascii="Times New Roman" w:hAnsi="Times New Roman" w:cs="Times New Roman"/>
        </w:rPr>
        <w:t>GP-150137, “</w:t>
      </w:r>
      <w:r w:rsidRPr="0017663A">
        <w:rPr>
          <w:rFonts w:ascii="Times New Roman" w:hAnsi="Times New Roman" w:cs="Times New Roman"/>
        </w:rPr>
        <w:t>NB M2M – Battery life analysis</w:t>
      </w:r>
      <w:r>
        <w:rPr>
          <w:rFonts w:ascii="Times New Roman" w:hAnsi="Times New Roman" w:cs="Times New Roman"/>
        </w:rPr>
        <w:t xml:space="preserve">”, </w:t>
      </w:r>
      <w:proofErr w:type="spellStart"/>
      <w:r w:rsidR="0007328F">
        <w:rPr>
          <w:rFonts w:ascii="Times New Roman" w:hAnsi="Times New Roman" w:cs="Times New Roman"/>
        </w:rPr>
        <w:t>Neul</w:t>
      </w:r>
      <w:bookmarkEnd w:id="5"/>
      <w:bookmarkEnd w:id="6"/>
      <w:bookmarkEnd w:id="16"/>
      <w:bookmarkEnd w:id="17"/>
      <w:proofErr w:type="spellEnd"/>
    </w:p>
    <w:p w:rsidR="000B2DE4" w:rsidRPr="002E6CBD" w:rsidRDefault="002E6CBD" w:rsidP="002E6CBD">
      <w:pPr>
        <w:pStyle w:val="Reference"/>
        <w:rPr>
          <w:rFonts w:ascii="Times New Roman" w:hAnsi="Times New Roman" w:cs="Times New Roman"/>
        </w:rPr>
      </w:pPr>
      <w:bookmarkStart w:id="18" w:name="_Ref434594435"/>
      <w:r>
        <w:rPr>
          <w:rFonts w:ascii="Times New Roman" w:hAnsi="Times New Roman" w:cs="Times New Roman"/>
        </w:rPr>
        <w:t>R1-157422, “</w:t>
      </w:r>
      <w:r w:rsidRPr="00BF6125">
        <w:rPr>
          <w:rFonts w:ascii="Times New Roman" w:hAnsi="Times New Roman" w:cs="Times New Roman"/>
        </w:rPr>
        <w:t>NB-</w:t>
      </w:r>
      <w:proofErr w:type="spellStart"/>
      <w:r w:rsidRPr="00BF6125">
        <w:rPr>
          <w:rFonts w:ascii="Times New Roman" w:hAnsi="Times New Roman" w:cs="Times New Roman"/>
        </w:rPr>
        <w:t>IoT</w:t>
      </w:r>
      <w:proofErr w:type="spellEnd"/>
      <w:r w:rsidRPr="00BF6125">
        <w:rPr>
          <w:rFonts w:ascii="Times New Roman" w:hAnsi="Times New Roman" w:cs="Times New Roman"/>
        </w:rPr>
        <w:t xml:space="preserve"> - M-PBCH design update</w:t>
      </w:r>
      <w:r>
        <w:rPr>
          <w:rFonts w:ascii="Times New Roman" w:hAnsi="Times New Roman" w:cs="Times New Roman"/>
        </w:rPr>
        <w:t>”, Ericsson</w:t>
      </w:r>
      <w:bookmarkEnd w:id="18"/>
    </w:p>
    <w:p w:rsidR="009A45E6" w:rsidRPr="00C400FE" w:rsidRDefault="00C400FE" w:rsidP="00C400FE">
      <w:pPr>
        <w:pStyle w:val="Reference"/>
        <w:rPr>
          <w:rFonts w:ascii="Times New Roman" w:hAnsi="Times New Roman" w:cs="Times New Roman"/>
        </w:rPr>
      </w:pPr>
      <w:bookmarkStart w:id="19" w:name="_Ref434613383"/>
      <w:bookmarkEnd w:id="19"/>
      <w:r w:rsidRPr="00C400FE">
        <w:rPr>
          <w:rFonts w:ascii="Times New Roman" w:hAnsi="Times New Roman" w:cs="Times New Roman"/>
        </w:rPr>
        <w:t>R1-157390, “NB-</w:t>
      </w:r>
      <w:proofErr w:type="spellStart"/>
      <w:r w:rsidRPr="00C400FE">
        <w:rPr>
          <w:rFonts w:ascii="Times New Roman" w:hAnsi="Times New Roman" w:cs="Times New Roman"/>
        </w:rPr>
        <w:t>IoT</w:t>
      </w:r>
      <w:proofErr w:type="spellEnd"/>
      <w:r w:rsidRPr="00C400FE">
        <w:rPr>
          <w:rFonts w:ascii="Times New Roman" w:hAnsi="Times New Roman" w:cs="Times New Roman"/>
        </w:rPr>
        <w:t xml:space="preserve"> - Battery lifetime comparison for standalone operation</w:t>
      </w:r>
      <w:r>
        <w:rPr>
          <w:rFonts w:ascii="Times New Roman" w:hAnsi="Times New Roman" w:cs="Times New Roman"/>
        </w:rPr>
        <w:t xml:space="preserve">”, </w:t>
      </w:r>
      <w:r w:rsidRPr="00C400FE">
        <w:rPr>
          <w:rFonts w:ascii="Times New Roman" w:hAnsi="Times New Roman" w:cs="Times New Roman"/>
        </w:rPr>
        <w:t>Ericsson</w:t>
      </w:r>
      <w:bookmarkEnd w:id="2"/>
    </w:p>
    <w:sectPr w:rsidR="009A45E6" w:rsidRPr="00C400FE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F05" w:rsidRDefault="00397F05">
      <w:r>
        <w:separator/>
      </w:r>
    </w:p>
  </w:endnote>
  <w:endnote w:type="continuationSeparator" w:id="0">
    <w:p w:rsidR="00397F05" w:rsidRDefault="0039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2EB8">
      <w:rPr>
        <w:rStyle w:val="PageNumber"/>
      </w:rPr>
      <w:fldChar w:fldCharType="separate"/>
    </w:r>
    <w:r w:rsidR="00AC19AF">
      <w:rPr>
        <w:rStyle w:val="PageNumber"/>
      </w:rPr>
      <w:t>2</w:t>
    </w:r>
    <w:r w:rsidR="00372EB8">
      <w:rPr>
        <w:rStyle w:val="PageNumber"/>
      </w:rPr>
      <w:fldChar w:fldCharType="end"/>
    </w:r>
    <w:r>
      <w:rPr>
        <w:rStyle w:val="PageNumber"/>
      </w:rPr>
      <w:t>/</w:t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72EB8">
      <w:rPr>
        <w:rStyle w:val="PageNumber"/>
      </w:rPr>
      <w:fldChar w:fldCharType="separate"/>
    </w:r>
    <w:r w:rsidR="00AC19AF">
      <w:rPr>
        <w:rStyle w:val="PageNumber"/>
      </w:rPr>
      <w:t>2</w:t>
    </w:r>
    <w:r w:rsidR="00372EB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F05" w:rsidRDefault="00397F05">
      <w:r>
        <w:separator/>
      </w:r>
    </w:p>
  </w:footnote>
  <w:footnote w:type="continuationSeparator" w:id="0">
    <w:p w:rsidR="00397F05" w:rsidRDefault="00397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>
    <w:r>
      <w:t xml:space="preserve">Page </w:t>
    </w:r>
    <w:r w:rsidR="00372EB8">
      <w:fldChar w:fldCharType="begin"/>
    </w:r>
    <w:r>
      <w:instrText>PAGE</w:instrText>
    </w:r>
    <w:r w:rsidR="00372EB8">
      <w:fldChar w:fldCharType="separate"/>
    </w:r>
    <w:r>
      <w:t>4</w:t>
    </w:r>
    <w:r w:rsidR="00372EB8"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DEC15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2907B2"/>
    <w:multiLevelType w:val="hybridMultilevel"/>
    <w:tmpl w:val="C0BA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7"/>
  </w:num>
  <w:num w:numId="5">
    <w:abstractNumId w:val="32"/>
  </w:num>
  <w:num w:numId="6">
    <w:abstractNumId w:val="39"/>
  </w:num>
  <w:num w:numId="7">
    <w:abstractNumId w:val="19"/>
  </w:num>
  <w:num w:numId="8">
    <w:abstractNumId w:val="17"/>
  </w:num>
  <w:num w:numId="9">
    <w:abstractNumId w:val="35"/>
  </w:num>
  <w:num w:numId="10">
    <w:abstractNumId w:val="21"/>
  </w:num>
  <w:num w:numId="11">
    <w:abstractNumId w:val="36"/>
  </w:num>
  <w:num w:numId="12">
    <w:abstractNumId w:val="33"/>
  </w:num>
  <w:num w:numId="13">
    <w:abstractNumId w:val="3"/>
  </w:num>
  <w:num w:numId="14">
    <w:abstractNumId w:val="5"/>
  </w:num>
  <w:num w:numId="15">
    <w:abstractNumId w:val="14"/>
  </w:num>
  <w:num w:numId="16">
    <w:abstractNumId w:val="26"/>
  </w:num>
  <w:num w:numId="17">
    <w:abstractNumId w:val="15"/>
  </w:num>
  <w:num w:numId="18">
    <w:abstractNumId w:val="6"/>
  </w:num>
  <w:num w:numId="19">
    <w:abstractNumId w:val="25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3"/>
  </w:num>
  <w:num w:numId="25">
    <w:abstractNumId w:val="28"/>
  </w:num>
  <w:num w:numId="26">
    <w:abstractNumId w:val="9"/>
  </w:num>
  <w:num w:numId="27">
    <w:abstractNumId w:val="12"/>
  </w:num>
  <w:num w:numId="28">
    <w:abstractNumId w:val="16"/>
  </w:num>
  <w:num w:numId="29">
    <w:abstractNumId w:val="24"/>
  </w:num>
  <w:num w:numId="30">
    <w:abstractNumId w:val="8"/>
  </w:num>
  <w:num w:numId="31">
    <w:abstractNumId w:val="4"/>
  </w:num>
  <w:num w:numId="32">
    <w:abstractNumId w:val="40"/>
  </w:num>
  <w:num w:numId="33">
    <w:abstractNumId w:val="11"/>
  </w:num>
  <w:num w:numId="34">
    <w:abstractNumId w:val="10"/>
  </w:num>
  <w:num w:numId="35">
    <w:abstractNumId w:val="31"/>
  </w:num>
  <w:num w:numId="36">
    <w:abstractNumId w:val="38"/>
  </w:num>
  <w:num w:numId="37">
    <w:abstractNumId w:val="8"/>
  </w:num>
  <w:num w:numId="38">
    <w:abstractNumId w:val="13"/>
  </w:num>
  <w:num w:numId="39">
    <w:abstractNumId w:val="34"/>
  </w:num>
  <w:num w:numId="40">
    <w:abstractNumId w:val="2"/>
  </w:num>
  <w:num w:numId="41">
    <w:abstractNumId w:val="8"/>
  </w:num>
  <w:num w:numId="42">
    <w:abstractNumId w:val="22"/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2C73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328F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752C"/>
    <w:rsid w:val="000B26D2"/>
    <w:rsid w:val="000B2DE4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36B78"/>
    <w:rsid w:val="00140EA3"/>
    <w:rsid w:val="00141BF0"/>
    <w:rsid w:val="00142747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663A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8E7"/>
    <w:rsid w:val="00231A5C"/>
    <w:rsid w:val="00231E02"/>
    <w:rsid w:val="0023356D"/>
    <w:rsid w:val="002348B1"/>
    <w:rsid w:val="00235E2E"/>
    <w:rsid w:val="002367CC"/>
    <w:rsid w:val="002373B4"/>
    <w:rsid w:val="0023747D"/>
    <w:rsid w:val="00237E20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1287"/>
    <w:rsid w:val="002C4083"/>
    <w:rsid w:val="002C428B"/>
    <w:rsid w:val="002C543C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6CBD"/>
    <w:rsid w:val="002E7B6E"/>
    <w:rsid w:val="002F34EB"/>
    <w:rsid w:val="002F40C2"/>
    <w:rsid w:val="002F4A9C"/>
    <w:rsid w:val="002F60BC"/>
    <w:rsid w:val="002F6970"/>
    <w:rsid w:val="002F755C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1DE6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449B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BAE"/>
    <w:rsid w:val="00382D96"/>
    <w:rsid w:val="00387A0C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05"/>
    <w:rsid w:val="00397FFB"/>
    <w:rsid w:val="003A0E9F"/>
    <w:rsid w:val="003A2944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DDD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288"/>
    <w:rsid w:val="004065AD"/>
    <w:rsid w:val="0041465A"/>
    <w:rsid w:val="00414B38"/>
    <w:rsid w:val="0041592E"/>
    <w:rsid w:val="00416660"/>
    <w:rsid w:val="00416EC3"/>
    <w:rsid w:val="00417DAB"/>
    <w:rsid w:val="00417F6B"/>
    <w:rsid w:val="00420B0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83B01"/>
    <w:rsid w:val="00485B5D"/>
    <w:rsid w:val="00485C52"/>
    <w:rsid w:val="00486DCD"/>
    <w:rsid w:val="00493B2E"/>
    <w:rsid w:val="00493C74"/>
    <w:rsid w:val="00493F4A"/>
    <w:rsid w:val="0049434F"/>
    <w:rsid w:val="004950BA"/>
    <w:rsid w:val="004959C8"/>
    <w:rsid w:val="004A18AA"/>
    <w:rsid w:val="004A3255"/>
    <w:rsid w:val="004A3D6B"/>
    <w:rsid w:val="004A5EF5"/>
    <w:rsid w:val="004A765D"/>
    <w:rsid w:val="004B0E99"/>
    <w:rsid w:val="004B0E9D"/>
    <w:rsid w:val="004B3301"/>
    <w:rsid w:val="004B37C6"/>
    <w:rsid w:val="004B3FDA"/>
    <w:rsid w:val="004B565B"/>
    <w:rsid w:val="004B7041"/>
    <w:rsid w:val="004C0857"/>
    <w:rsid w:val="004C1694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59E9"/>
    <w:rsid w:val="00527399"/>
    <w:rsid w:val="005276D8"/>
    <w:rsid w:val="00534BFB"/>
    <w:rsid w:val="00536997"/>
    <w:rsid w:val="005409F3"/>
    <w:rsid w:val="00541E48"/>
    <w:rsid w:val="00542B9A"/>
    <w:rsid w:val="005433DF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0B38"/>
    <w:rsid w:val="0056275E"/>
    <w:rsid w:val="00562A5B"/>
    <w:rsid w:val="00563331"/>
    <w:rsid w:val="0056349B"/>
    <w:rsid w:val="00563AD9"/>
    <w:rsid w:val="005649D5"/>
    <w:rsid w:val="00564C06"/>
    <w:rsid w:val="00566AD3"/>
    <w:rsid w:val="00567EB0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AB8"/>
    <w:rsid w:val="00585EA4"/>
    <w:rsid w:val="00586B26"/>
    <w:rsid w:val="005907EA"/>
    <w:rsid w:val="00591123"/>
    <w:rsid w:val="0059153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5919"/>
    <w:rsid w:val="005B603D"/>
    <w:rsid w:val="005B6E13"/>
    <w:rsid w:val="005B7EFA"/>
    <w:rsid w:val="005C27E4"/>
    <w:rsid w:val="005C37B0"/>
    <w:rsid w:val="005C4540"/>
    <w:rsid w:val="005C5772"/>
    <w:rsid w:val="005C616D"/>
    <w:rsid w:val="005C6C59"/>
    <w:rsid w:val="005D25A9"/>
    <w:rsid w:val="005D564B"/>
    <w:rsid w:val="005D5FDC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A6F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124D"/>
    <w:rsid w:val="00672CBE"/>
    <w:rsid w:val="006768E9"/>
    <w:rsid w:val="00677DE7"/>
    <w:rsid w:val="00681613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B73E3"/>
    <w:rsid w:val="006C1643"/>
    <w:rsid w:val="006C1794"/>
    <w:rsid w:val="006C17E3"/>
    <w:rsid w:val="006C43F4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779D"/>
    <w:rsid w:val="00743C64"/>
    <w:rsid w:val="00747AD2"/>
    <w:rsid w:val="007500D8"/>
    <w:rsid w:val="00752956"/>
    <w:rsid w:val="00752F8E"/>
    <w:rsid w:val="00755077"/>
    <w:rsid w:val="00756F09"/>
    <w:rsid w:val="00756F7F"/>
    <w:rsid w:val="0075782D"/>
    <w:rsid w:val="00760F3A"/>
    <w:rsid w:val="007629A6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03E7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075BC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55B"/>
    <w:rsid w:val="0083238E"/>
    <w:rsid w:val="008323E7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1E4D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6C9D"/>
    <w:rsid w:val="00967512"/>
    <w:rsid w:val="00970BA7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483D"/>
    <w:rsid w:val="00984D77"/>
    <w:rsid w:val="00984E2D"/>
    <w:rsid w:val="00985DC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972C6"/>
    <w:rsid w:val="009A0911"/>
    <w:rsid w:val="009A11A3"/>
    <w:rsid w:val="009A1BDC"/>
    <w:rsid w:val="009A45E6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07E84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56D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3E9A"/>
    <w:rsid w:val="00AB4185"/>
    <w:rsid w:val="00AB4412"/>
    <w:rsid w:val="00AB6847"/>
    <w:rsid w:val="00AC073C"/>
    <w:rsid w:val="00AC16E1"/>
    <w:rsid w:val="00AC19AF"/>
    <w:rsid w:val="00AC1B98"/>
    <w:rsid w:val="00AC24AD"/>
    <w:rsid w:val="00AC3736"/>
    <w:rsid w:val="00AC6493"/>
    <w:rsid w:val="00AC6B7F"/>
    <w:rsid w:val="00AC7E6D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1EAC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6FFE"/>
    <w:rsid w:val="00BA750B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774"/>
    <w:rsid w:val="00BE3023"/>
    <w:rsid w:val="00BE7329"/>
    <w:rsid w:val="00BF0CF2"/>
    <w:rsid w:val="00BF1CA6"/>
    <w:rsid w:val="00BF435F"/>
    <w:rsid w:val="00BF444B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CF1"/>
    <w:rsid w:val="00C11E33"/>
    <w:rsid w:val="00C12244"/>
    <w:rsid w:val="00C130A8"/>
    <w:rsid w:val="00C14D4C"/>
    <w:rsid w:val="00C22749"/>
    <w:rsid w:val="00C26A66"/>
    <w:rsid w:val="00C26E6D"/>
    <w:rsid w:val="00C30EC8"/>
    <w:rsid w:val="00C31C0F"/>
    <w:rsid w:val="00C32F55"/>
    <w:rsid w:val="00C341CD"/>
    <w:rsid w:val="00C3454E"/>
    <w:rsid w:val="00C34A49"/>
    <w:rsid w:val="00C35780"/>
    <w:rsid w:val="00C3700B"/>
    <w:rsid w:val="00C400FE"/>
    <w:rsid w:val="00C40781"/>
    <w:rsid w:val="00C40D28"/>
    <w:rsid w:val="00C434D1"/>
    <w:rsid w:val="00C43795"/>
    <w:rsid w:val="00C44542"/>
    <w:rsid w:val="00C44657"/>
    <w:rsid w:val="00C44F53"/>
    <w:rsid w:val="00C45BC2"/>
    <w:rsid w:val="00C50462"/>
    <w:rsid w:val="00C5163A"/>
    <w:rsid w:val="00C518BE"/>
    <w:rsid w:val="00C523FF"/>
    <w:rsid w:val="00C559F1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0"/>
    <w:rsid w:val="00C82DE9"/>
    <w:rsid w:val="00C82F2D"/>
    <w:rsid w:val="00C85009"/>
    <w:rsid w:val="00C8503C"/>
    <w:rsid w:val="00C858C2"/>
    <w:rsid w:val="00C8719C"/>
    <w:rsid w:val="00C91BC5"/>
    <w:rsid w:val="00C92492"/>
    <w:rsid w:val="00C93035"/>
    <w:rsid w:val="00C94257"/>
    <w:rsid w:val="00C95426"/>
    <w:rsid w:val="00CA3CDE"/>
    <w:rsid w:val="00CA6C67"/>
    <w:rsid w:val="00CB0BD7"/>
    <w:rsid w:val="00CB0D6C"/>
    <w:rsid w:val="00CB2F0B"/>
    <w:rsid w:val="00CC1B0D"/>
    <w:rsid w:val="00CC2E3D"/>
    <w:rsid w:val="00CC38BA"/>
    <w:rsid w:val="00CC4307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1C7C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4B5E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22A"/>
    <w:rsid w:val="00DD2F0C"/>
    <w:rsid w:val="00DD3216"/>
    <w:rsid w:val="00DD3BB2"/>
    <w:rsid w:val="00DD3E3A"/>
    <w:rsid w:val="00DD3E85"/>
    <w:rsid w:val="00DE0ACF"/>
    <w:rsid w:val="00DE2058"/>
    <w:rsid w:val="00DE229A"/>
    <w:rsid w:val="00DE251A"/>
    <w:rsid w:val="00DE6079"/>
    <w:rsid w:val="00DE6F2C"/>
    <w:rsid w:val="00DE6F62"/>
    <w:rsid w:val="00DF121A"/>
    <w:rsid w:val="00DF17B0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3F0F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A4D9A"/>
    <w:rsid w:val="00FB1BE8"/>
    <w:rsid w:val="00FB25F0"/>
    <w:rsid w:val="00FB3F21"/>
    <w:rsid w:val="00FB48D1"/>
    <w:rsid w:val="00FB4B6F"/>
    <w:rsid w:val="00FB588B"/>
    <w:rsid w:val="00FB7F47"/>
    <w:rsid w:val="00FC1AB4"/>
    <w:rsid w:val="00FC222E"/>
    <w:rsid w:val="00FC2FF5"/>
    <w:rsid w:val="00FC32C8"/>
    <w:rsid w:val="00FC3586"/>
    <w:rsid w:val="00FC79AC"/>
    <w:rsid w:val="00FD0C1D"/>
    <w:rsid w:val="00FD5005"/>
    <w:rsid w:val="00FD5DF0"/>
    <w:rsid w:val="00FE27D3"/>
    <w:rsid w:val="00FE590E"/>
    <w:rsid w:val="00FE5FEF"/>
    <w:rsid w:val="00FF10A1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A365-4A54-42B6-B557-F622C090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12</cp:revision>
  <cp:lastPrinted>2013-05-03T08:47:00Z</cp:lastPrinted>
  <dcterms:created xsi:type="dcterms:W3CDTF">2015-11-06T21:29:00Z</dcterms:created>
  <dcterms:modified xsi:type="dcterms:W3CDTF">2015-11-07T00:55:00Z</dcterms:modified>
</cp:coreProperties>
</file>